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338"/>
        <w:gridCol w:w="3358"/>
      </w:tblGrid>
      <w:tr w:rsidR="00B525BF" w:rsidTr="00B525BF">
        <w:trPr>
          <w:trHeight w:val="1701"/>
        </w:trPr>
        <w:tc>
          <w:tcPr>
            <w:tcW w:w="7338" w:type="dxa"/>
            <w:tcBorders>
              <w:top w:val="nil"/>
              <w:left w:val="nil"/>
              <w:bottom w:val="nil"/>
              <w:right w:val="single" w:sz="4" w:space="0" w:color="auto"/>
            </w:tcBorders>
            <w:vAlign w:val="center"/>
          </w:tcPr>
          <w:p w:rsidR="00B525BF" w:rsidRDefault="003B3617" w:rsidP="00946CF1">
            <w:pPr>
              <w:pStyle w:val="Title"/>
              <w:jc w:val="left"/>
            </w:pPr>
            <w:r>
              <w:t>Recognition of Prior Learning, Exemption and Equivalence Policy</w:t>
            </w:r>
          </w:p>
        </w:tc>
        <w:tc>
          <w:tcPr>
            <w:tcW w:w="3358" w:type="dxa"/>
            <w:tcBorders>
              <w:left w:val="single" w:sz="4" w:space="0" w:color="auto"/>
            </w:tcBorders>
            <w:vAlign w:val="center"/>
          </w:tcPr>
          <w:p w:rsidR="00B525BF" w:rsidRPr="00B525BF" w:rsidRDefault="00B525BF" w:rsidP="00B525BF">
            <w:pPr>
              <w:jc w:val="center"/>
              <w:rPr>
                <w:i/>
              </w:rPr>
            </w:pPr>
            <w:r>
              <w:rPr>
                <w:i/>
              </w:rPr>
              <w:t>[</w:t>
            </w:r>
            <w:r w:rsidRPr="00B525BF">
              <w:rPr>
                <w:i/>
              </w:rPr>
              <w:t>Insert Centre Logo</w:t>
            </w:r>
            <w:r>
              <w:rPr>
                <w:i/>
              </w:rPr>
              <w:t>]</w:t>
            </w:r>
          </w:p>
        </w:tc>
      </w:tr>
    </w:tbl>
    <w:p w:rsidR="001F4BE2" w:rsidRDefault="001F4BE2" w:rsidP="00B525BF"/>
    <w:p w:rsidR="00B525BF" w:rsidRPr="00537CA8" w:rsidRDefault="00B525BF" w:rsidP="00B525BF"/>
    <w:p w:rsidR="001F4BE2" w:rsidRPr="00537CA8" w:rsidRDefault="00537CA8" w:rsidP="00B525BF">
      <w:pPr>
        <w:pStyle w:val="Subheading1"/>
      </w:pPr>
      <w:r w:rsidRPr="00537CA8">
        <w:t>Name</w:t>
      </w:r>
      <w:r w:rsidRPr="00537CA8">
        <w:rPr>
          <w:spacing w:val="-7"/>
        </w:rPr>
        <w:t xml:space="preserve"> </w:t>
      </w:r>
      <w:r w:rsidRPr="00537CA8">
        <w:t>of</w:t>
      </w:r>
      <w:r w:rsidRPr="00537CA8">
        <w:rPr>
          <w:spacing w:val="-2"/>
        </w:rPr>
        <w:t xml:space="preserve"> </w:t>
      </w:r>
      <w:r w:rsidRPr="00537CA8">
        <w:t>centre:</w:t>
      </w:r>
      <w:r w:rsidRPr="00537CA8">
        <w:rPr>
          <w:spacing w:val="36"/>
        </w:rPr>
        <w:t xml:space="preserve"> </w:t>
      </w:r>
      <w:r w:rsidRPr="00537CA8">
        <w:t>…</w:t>
      </w:r>
      <w:r w:rsidRPr="00537CA8">
        <w:rPr>
          <w:spacing w:val="1"/>
        </w:rPr>
        <w:t>……</w:t>
      </w:r>
      <w:r w:rsidRPr="00537CA8">
        <w:t>………</w:t>
      </w:r>
      <w:r w:rsidRPr="00537CA8">
        <w:rPr>
          <w:spacing w:val="1"/>
        </w:rPr>
        <w:t>……</w:t>
      </w:r>
      <w:r w:rsidRPr="00537CA8">
        <w:t>………</w:t>
      </w:r>
      <w:r w:rsidRPr="00537CA8">
        <w:rPr>
          <w:spacing w:val="1"/>
        </w:rPr>
        <w:t>……</w:t>
      </w:r>
      <w:r w:rsidRPr="00537CA8">
        <w:t>………</w:t>
      </w:r>
      <w:r w:rsidRPr="00537CA8">
        <w:rPr>
          <w:spacing w:val="1"/>
        </w:rPr>
        <w:t>……</w:t>
      </w:r>
      <w:r w:rsidRPr="00537CA8">
        <w:t>………</w:t>
      </w:r>
      <w:r w:rsidRPr="00537CA8">
        <w:rPr>
          <w:spacing w:val="1"/>
        </w:rPr>
        <w:t>……</w:t>
      </w:r>
      <w:r w:rsidRPr="00537CA8">
        <w:t>……..…</w:t>
      </w:r>
    </w:p>
    <w:p w:rsidR="001F4BE2" w:rsidRDefault="001F4BE2" w:rsidP="00537CA8">
      <w:pPr>
        <w:ind w:left="567" w:hanging="567"/>
        <w:rPr>
          <w:rFonts w:cs="Arial"/>
        </w:rPr>
      </w:pPr>
    </w:p>
    <w:p w:rsidR="003B3617" w:rsidRPr="007856D1" w:rsidRDefault="003B3617" w:rsidP="003B3617">
      <w:pPr>
        <w:pStyle w:val="Subheading1"/>
      </w:pPr>
      <w:r w:rsidRPr="007856D1">
        <w:t>Recognition of prior learning</w:t>
      </w:r>
    </w:p>
    <w:p w:rsidR="003B3617" w:rsidRDefault="003B3617" w:rsidP="003B3617"/>
    <w:p w:rsidR="003B3617" w:rsidRDefault="003B3617" w:rsidP="003B3617">
      <w:pPr>
        <w:rPr>
          <w:b/>
        </w:rPr>
      </w:pPr>
      <w:r>
        <w:t xml:space="preserve">RPL is a method of assessment that considers whether a learner can demonstrate that they can meet the assessment requirements for a unit through knowledge, experience, understanding or skills that they already possess and do not need to develop through a course of learning.  In other words they can </w:t>
      </w:r>
      <w:r>
        <w:rPr>
          <w:b/>
        </w:rPr>
        <w:t>proceed directly to assessment.</w:t>
      </w:r>
    </w:p>
    <w:p w:rsidR="003B3617" w:rsidRDefault="003B3617" w:rsidP="003B3617"/>
    <w:p w:rsidR="003B3617" w:rsidRDefault="003B3617" w:rsidP="003B3617">
      <w:pPr>
        <w:rPr>
          <w:b/>
        </w:rPr>
      </w:pPr>
      <w:r>
        <w:rPr>
          <w:b/>
        </w:rPr>
        <w:t>D</w:t>
      </w:r>
      <w:r w:rsidRPr="007856D1">
        <w:rPr>
          <w:b/>
        </w:rPr>
        <w:t>efinition</w:t>
      </w:r>
    </w:p>
    <w:p w:rsidR="003B3617" w:rsidRDefault="003B3617" w:rsidP="003B3617">
      <w:r>
        <w:t xml:space="preserve">RPL relates to assessment leading to the award of credit of units.  Assessment is conducted against the learning outcomes and assessment criteria.  </w:t>
      </w:r>
    </w:p>
    <w:p w:rsidR="003B3617" w:rsidRDefault="003B3617" w:rsidP="003B3617">
      <w:r>
        <w:t>All evidence provided must be valid, current (generally up to 3 years, sufficient (covers all criteria) and authentic.</w:t>
      </w:r>
    </w:p>
    <w:p w:rsidR="003B3617" w:rsidRDefault="003B3617" w:rsidP="003B3617"/>
    <w:p w:rsidR="003B3617" w:rsidRDefault="003B3617" w:rsidP="003B3617">
      <w:r w:rsidRPr="003B3617">
        <w:rPr>
          <w:b/>
        </w:rPr>
        <w:t>NB:</w:t>
      </w:r>
      <w:r>
        <w:t xml:space="preserve"> Learners must still undertake all the stipulated amount of practical assessments associated with the unit and cover all of the range.</w:t>
      </w:r>
    </w:p>
    <w:p w:rsidR="003B3617" w:rsidRDefault="003B3617" w:rsidP="003B3617"/>
    <w:p w:rsidR="003B3617" w:rsidRPr="003B3617" w:rsidRDefault="003B3617" w:rsidP="003B3617">
      <w:r w:rsidRPr="003B3617">
        <w:t>Learners will be encouraged to take responsibility for making and supporting any claims for RPL.  Learners will be advised and encouraged from the start of their learning experience to assess their prior achievements and experiences and to record these appropriately.  Support for action planning, recording of achievement, appropriate evidence will begin at the initial interview, induction or early in the programme and continue through the learning process (as appropriate).</w:t>
      </w:r>
    </w:p>
    <w:p w:rsidR="003B3617" w:rsidRPr="003B3617" w:rsidRDefault="003B3617" w:rsidP="003B3617"/>
    <w:p w:rsidR="003B3617" w:rsidRPr="003B3617" w:rsidRDefault="003B3617" w:rsidP="003B3617">
      <w:r w:rsidRPr="003B3617">
        <w:t xml:space="preserve">The centre recognises that there may be a need to offer RPL to learners prior to enrolment onto a course.  Claims for RPL will be discussed on an individual basis (interview) where the assessor must be satisfied that the learner has the necessary underpinning knowledge and skills to proceed straight to assessment.  The assessor will agree an action plan with the learner for their individual training and assessment pathway to the specific unit or qualification they wish to obtain. Learners will be charged a fee as appropriate to the tutor time involved.  This is generally 50% of the cost of the module fee for which they are claiming RPL. </w:t>
      </w:r>
    </w:p>
    <w:p w:rsidR="003B3617" w:rsidRDefault="003B3617" w:rsidP="003B3617">
      <w:pPr>
        <w:rPr>
          <w:b/>
          <w:sz w:val="28"/>
          <w:szCs w:val="28"/>
        </w:rPr>
      </w:pPr>
    </w:p>
    <w:p w:rsidR="003B3617" w:rsidRPr="00252D21" w:rsidRDefault="003B3617" w:rsidP="003B3617">
      <w:pPr>
        <w:pStyle w:val="Subheading1"/>
      </w:pPr>
      <w:r>
        <w:t>Exemption</w:t>
      </w:r>
    </w:p>
    <w:p w:rsidR="003B3617" w:rsidRDefault="003B3617" w:rsidP="003B3617">
      <w:pPr>
        <w:rPr>
          <w:b/>
        </w:rPr>
      </w:pPr>
    </w:p>
    <w:p w:rsidR="003B3617" w:rsidRDefault="003B3617" w:rsidP="003B3617">
      <w:pPr>
        <w:rPr>
          <w:b/>
        </w:rPr>
      </w:pPr>
      <w:r w:rsidRPr="00252D21">
        <w:rPr>
          <w:b/>
        </w:rPr>
        <w:t>Defin</w:t>
      </w:r>
      <w:r>
        <w:rPr>
          <w:b/>
        </w:rPr>
        <w:t>ition</w:t>
      </w:r>
    </w:p>
    <w:p w:rsidR="003B3617" w:rsidRDefault="003B3617" w:rsidP="003B3617">
      <w:r>
        <w:t xml:space="preserve">The facility for a learner to claim exemption from some of the achievement requirements of a QCF qualification, using evidence of certificated, non-QCF achievement deemed to be of equivalent value.  </w:t>
      </w:r>
    </w:p>
    <w:p w:rsidR="003B3617" w:rsidRDefault="003B3617" w:rsidP="003B3617"/>
    <w:p w:rsidR="003B3617" w:rsidRDefault="003B3617" w:rsidP="003B3617">
      <w:r>
        <w:t xml:space="preserve">This means that a learner could achieve a qualification through a combination of credits awarded for units with the QCF, and exemption from the requirement to achieve credits for a unit of units based on certificated achievements outside the QCF.  </w:t>
      </w:r>
    </w:p>
    <w:p w:rsidR="003B3617" w:rsidRDefault="003B3617" w:rsidP="003B3617">
      <w:r>
        <w:t xml:space="preserve">All cases of exemption will be discussed on an individual basis with the assessor.  </w:t>
      </w:r>
    </w:p>
    <w:p w:rsidR="003B3617" w:rsidRDefault="003B3617" w:rsidP="003B3617">
      <w:pPr>
        <w:rPr>
          <w:b/>
        </w:rPr>
      </w:pPr>
    </w:p>
    <w:p w:rsidR="003B3617" w:rsidRDefault="003B3617" w:rsidP="003B3617">
      <w:r w:rsidRPr="0082689D">
        <w:rPr>
          <w:b/>
        </w:rPr>
        <w:lastRenderedPageBreak/>
        <w:t>N</w:t>
      </w:r>
      <w:r>
        <w:rPr>
          <w:b/>
        </w:rPr>
        <w:t>B</w:t>
      </w:r>
      <w:r w:rsidRPr="0082689D">
        <w:rPr>
          <w:b/>
        </w:rPr>
        <w:t>:</w:t>
      </w:r>
      <w:r>
        <w:t xml:space="preserve">  Learners will not be awarded credit for exemptions as they have come from outside of the QCF. This means that they do not have a credit value to bank.</w:t>
      </w:r>
    </w:p>
    <w:p w:rsidR="003B3617" w:rsidRDefault="003B3617" w:rsidP="003B3617">
      <w:pPr>
        <w:rPr>
          <w:b/>
        </w:rPr>
      </w:pPr>
    </w:p>
    <w:p w:rsidR="003B3617" w:rsidRDefault="003B3617" w:rsidP="003B3617">
      <w:pPr>
        <w:pStyle w:val="Subheading1"/>
      </w:pPr>
      <w:r w:rsidRPr="00252D21">
        <w:t>Equivalence</w:t>
      </w:r>
    </w:p>
    <w:p w:rsidR="003B3617" w:rsidRDefault="003B3617" w:rsidP="003B3617">
      <w:r>
        <w:t xml:space="preserve">A learner can count credits awarded for another qualification or by another awarding body towards a qualification if equivalent unit. Equivalence, unlike exemption, uses units that sit within the QCF, whereas exemption uses units that sit outside of the QCF.  </w:t>
      </w:r>
    </w:p>
    <w:p w:rsidR="003B3617" w:rsidRDefault="003B3617" w:rsidP="003B3617">
      <w:pPr>
        <w:rPr>
          <w:b/>
        </w:rPr>
      </w:pPr>
    </w:p>
    <w:p w:rsidR="003B3617" w:rsidRDefault="003B3617" w:rsidP="003B3617">
      <w:r>
        <w:rPr>
          <w:b/>
        </w:rPr>
        <w:t xml:space="preserve">NB: </w:t>
      </w:r>
      <w:r w:rsidRPr="00082CCB">
        <w:t>RPL</w:t>
      </w:r>
      <w:r>
        <w:t xml:space="preserve"> and </w:t>
      </w:r>
      <w:r w:rsidRPr="00082CCB">
        <w:t xml:space="preserve">Exemption are not necessarily a way of saving time or money.  There can be a lot of </w:t>
      </w:r>
      <w:r>
        <w:t xml:space="preserve">time and </w:t>
      </w:r>
      <w:r w:rsidRPr="00082CCB">
        <w:t xml:space="preserve">work required to gather evidence, present </w:t>
      </w:r>
      <w:r>
        <w:t xml:space="preserve">it </w:t>
      </w:r>
      <w:r w:rsidRPr="00082CCB">
        <w:t>and assess</w:t>
      </w:r>
      <w:r>
        <w:t xml:space="preserve"> it. </w:t>
      </w:r>
      <w:r w:rsidRPr="00082CCB">
        <w:t xml:space="preserve">Often it may be simpler, easier and cheaper to follow the traditional training and assessment route.  </w:t>
      </w:r>
    </w:p>
    <w:p w:rsidR="003B3617" w:rsidRDefault="003B3617" w:rsidP="005A26F7"/>
    <w:p w:rsidR="003B3617" w:rsidRPr="00537CA8" w:rsidRDefault="003B3617" w:rsidP="005A26F7"/>
    <w:p w:rsidR="00B525BF" w:rsidRDefault="00B525BF" w:rsidP="005A26F7">
      <w:pPr>
        <w:widowControl w:val="0"/>
        <w:pBdr>
          <w:top w:val="single" w:sz="18" w:space="1" w:color="auto"/>
        </w:pBdr>
        <w:autoSpaceDE w:val="0"/>
        <w:autoSpaceDN w:val="0"/>
        <w:adjustRightInd w:val="0"/>
        <w:spacing w:line="248" w:lineRule="exact"/>
        <w:ind w:right="-20"/>
        <w:rPr>
          <w:rFonts w:cs="Arial"/>
          <w:b/>
          <w:bCs/>
          <w:i/>
          <w:iCs/>
          <w:position w:val="-1"/>
        </w:rPr>
      </w:pPr>
    </w:p>
    <w:p w:rsidR="001F4BE2" w:rsidRPr="005A26F7" w:rsidRDefault="00537CA8" w:rsidP="005A26F7">
      <w:pPr>
        <w:widowControl w:val="0"/>
        <w:pBdr>
          <w:top w:val="single" w:sz="18" w:space="1" w:color="auto"/>
        </w:pBdr>
        <w:autoSpaceDE w:val="0"/>
        <w:autoSpaceDN w:val="0"/>
        <w:adjustRightInd w:val="0"/>
        <w:spacing w:line="248" w:lineRule="exact"/>
        <w:ind w:right="-20"/>
        <w:rPr>
          <w:rFonts w:cs="Arial"/>
        </w:rPr>
      </w:pPr>
      <w:r w:rsidRPr="005A26F7">
        <w:rPr>
          <w:rFonts w:cs="Arial"/>
          <w:b/>
          <w:bCs/>
          <w:iCs/>
          <w:position w:val="-1"/>
        </w:rPr>
        <w:t>Those</w:t>
      </w:r>
      <w:r w:rsidRPr="005A26F7">
        <w:rPr>
          <w:rFonts w:cs="Arial"/>
          <w:b/>
          <w:bCs/>
          <w:iCs/>
          <w:spacing w:val="-6"/>
          <w:position w:val="-1"/>
        </w:rPr>
        <w:t xml:space="preserve"> </w:t>
      </w:r>
      <w:r w:rsidRPr="005A26F7">
        <w:rPr>
          <w:rFonts w:cs="Arial"/>
          <w:b/>
          <w:bCs/>
          <w:iCs/>
          <w:position w:val="-1"/>
        </w:rPr>
        <w:t>responsible</w:t>
      </w:r>
      <w:r w:rsidRPr="005A26F7">
        <w:rPr>
          <w:rFonts w:cs="Arial"/>
          <w:b/>
          <w:bCs/>
          <w:iCs/>
          <w:spacing w:val="-12"/>
          <w:position w:val="-1"/>
        </w:rPr>
        <w:t xml:space="preserve"> </w:t>
      </w:r>
      <w:r w:rsidRPr="005A26F7">
        <w:rPr>
          <w:rFonts w:cs="Arial"/>
          <w:b/>
          <w:bCs/>
          <w:iCs/>
          <w:position w:val="-1"/>
        </w:rPr>
        <w:t>within</w:t>
      </w:r>
      <w:r w:rsidRPr="005A26F7">
        <w:rPr>
          <w:rFonts w:cs="Arial"/>
          <w:b/>
          <w:bCs/>
          <w:iCs/>
          <w:spacing w:val="-6"/>
          <w:position w:val="-1"/>
        </w:rPr>
        <w:t xml:space="preserve"> </w:t>
      </w:r>
      <w:r w:rsidRPr="005A26F7">
        <w:rPr>
          <w:rFonts w:cs="Arial"/>
          <w:b/>
          <w:bCs/>
          <w:iCs/>
          <w:position w:val="-1"/>
        </w:rPr>
        <w:t>the</w:t>
      </w:r>
      <w:r w:rsidRPr="005A26F7">
        <w:rPr>
          <w:rFonts w:cs="Arial"/>
          <w:b/>
          <w:bCs/>
          <w:iCs/>
          <w:spacing w:val="-3"/>
          <w:position w:val="-1"/>
        </w:rPr>
        <w:t xml:space="preserve"> </w:t>
      </w:r>
      <w:r w:rsidRPr="005A26F7">
        <w:rPr>
          <w:rFonts w:cs="Arial"/>
          <w:b/>
          <w:bCs/>
          <w:iCs/>
          <w:position w:val="-1"/>
        </w:rPr>
        <w:t>centre</w:t>
      </w:r>
      <w:r w:rsidRPr="005A26F7">
        <w:rPr>
          <w:rFonts w:cs="Arial"/>
          <w:b/>
          <w:bCs/>
          <w:iCs/>
          <w:spacing w:val="-7"/>
          <w:position w:val="-1"/>
        </w:rPr>
        <w:t xml:space="preserve"> </w:t>
      </w:r>
      <w:r w:rsidRPr="005A26F7">
        <w:rPr>
          <w:rFonts w:cs="Arial"/>
          <w:b/>
          <w:bCs/>
          <w:iCs/>
          <w:position w:val="-1"/>
        </w:rPr>
        <w:t>are:</w:t>
      </w:r>
    </w:p>
    <w:p w:rsidR="001F4BE2" w:rsidRPr="00537CA8" w:rsidRDefault="001F4BE2" w:rsidP="005A26F7">
      <w:pPr>
        <w:widowControl w:val="0"/>
        <w:autoSpaceDE w:val="0"/>
        <w:autoSpaceDN w:val="0"/>
        <w:adjustRightInd w:val="0"/>
        <w:spacing w:before="6" w:line="220" w:lineRule="exact"/>
        <w:rPr>
          <w:rFonts w:cs="Arial"/>
        </w:rPr>
      </w:pPr>
    </w:p>
    <w:p w:rsidR="005A26F7" w:rsidRDefault="00537CA8" w:rsidP="005A26F7">
      <w:pPr>
        <w:widowControl w:val="0"/>
        <w:tabs>
          <w:tab w:val="left" w:pos="5103"/>
        </w:tabs>
        <w:autoSpaceDE w:val="0"/>
        <w:autoSpaceDN w:val="0"/>
        <w:adjustRightInd w:val="0"/>
        <w:spacing w:before="31" w:line="480" w:lineRule="auto"/>
        <w:ind w:right="-10"/>
        <w:rPr>
          <w:rFonts w:cs="Arial"/>
        </w:rPr>
      </w:pPr>
      <w:r w:rsidRPr="00537CA8">
        <w:rPr>
          <w:rFonts w:cs="Arial"/>
        </w:rPr>
        <w:t>Name</w:t>
      </w:r>
      <w:r w:rsidRPr="00537CA8">
        <w:rPr>
          <w:rFonts w:cs="Arial"/>
          <w:spacing w:val="-6"/>
        </w:rPr>
        <w:t xml:space="preserve"> </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005A26F7">
        <w:rPr>
          <w:rFonts w:cs="Arial"/>
          <w:spacing w:val="29"/>
        </w:rPr>
        <w:tab/>
      </w:r>
      <w:r w:rsidRPr="00537CA8">
        <w:rPr>
          <w:rFonts w:cs="Arial"/>
        </w:rPr>
        <w:t>Name</w:t>
      </w:r>
      <w:r w:rsidRPr="00537CA8">
        <w:rPr>
          <w:rFonts w:cs="Arial"/>
          <w:spacing w:val="-6"/>
        </w:rPr>
        <w:t xml:space="preserve"> </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005A26F7">
        <w:rPr>
          <w:rFonts w:cs="Arial"/>
        </w:rPr>
        <w:t>…….</w:t>
      </w:r>
    </w:p>
    <w:p w:rsidR="001F4BE2" w:rsidRPr="00537CA8" w:rsidRDefault="00537CA8" w:rsidP="005A26F7">
      <w:pPr>
        <w:widowControl w:val="0"/>
        <w:tabs>
          <w:tab w:val="left" w:pos="5103"/>
        </w:tabs>
        <w:autoSpaceDE w:val="0"/>
        <w:autoSpaceDN w:val="0"/>
        <w:adjustRightInd w:val="0"/>
        <w:spacing w:before="31" w:line="480" w:lineRule="auto"/>
        <w:ind w:right="-10"/>
        <w:rPr>
          <w:rFonts w:cs="Arial"/>
        </w:rPr>
      </w:pPr>
      <w:r w:rsidRPr="00537CA8">
        <w:rPr>
          <w:rFonts w:cs="Arial"/>
        </w:rPr>
        <w:t>Name</w:t>
      </w:r>
      <w:r w:rsidRPr="00537CA8">
        <w:rPr>
          <w:rFonts w:cs="Arial"/>
          <w:spacing w:val="-6"/>
        </w:rPr>
        <w:t xml:space="preserve"> </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005A26F7">
        <w:rPr>
          <w:rFonts w:cs="Arial"/>
        </w:rPr>
        <w:tab/>
      </w:r>
      <w:r w:rsidRPr="00537CA8">
        <w:rPr>
          <w:rFonts w:cs="Arial"/>
        </w:rPr>
        <w:t>Name</w:t>
      </w:r>
      <w:r w:rsidRPr="00537CA8">
        <w:rPr>
          <w:rFonts w:cs="Arial"/>
          <w:spacing w:val="-6"/>
        </w:rPr>
        <w:t xml:space="preserve"> </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p>
    <w:p w:rsidR="001F4BE2" w:rsidRPr="00537CA8" w:rsidRDefault="00537CA8" w:rsidP="005A26F7">
      <w:pPr>
        <w:widowControl w:val="0"/>
        <w:autoSpaceDE w:val="0"/>
        <w:autoSpaceDN w:val="0"/>
        <w:adjustRightInd w:val="0"/>
        <w:spacing w:before="7"/>
        <w:ind w:right="60"/>
        <w:rPr>
          <w:rFonts w:cs="Arial"/>
        </w:rPr>
      </w:pPr>
      <w:r w:rsidRPr="00537CA8">
        <w:rPr>
          <w:rFonts w:cs="Arial"/>
          <w:b/>
          <w:bCs/>
        </w:rPr>
        <w:t>The</w:t>
      </w:r>
      <w:r w:rsidRPr="00537CA8">
        <w:rPr>
          <w:rFonts w:cs="Arial"/>
          <w:b/>
          <w:bCs/>
          <w:spacing w:val="-4"/>
        </w:rPr>
        <w:t xml:space="preserve"> </w:t>
      </w:r>
      <w:r w:rsidRPr="00537CA8">
        <w:rPr>
          <w:rFonts w:cs="Arial"/>
          <w:b/>
          <w:bCs/>
        </w:rPr>
        <w:t>centre</w:t>
      </w:r>
      <w:r w:rsidRPr="00537CA8">
        <w:rPr>
          <w:rFonts w:cs="Arial"/>
          <w:b/>
          <w:bCs/>
          <w:spacing w:val="-7"/>
        </w:rPr>
        <w:t xml:space="preserve"> </w:t>
      </w:r>
      <w:r w:rsidRPr="00537CA8">
        <w:rPr>
          <w:rFonts w:cs="Arial"/>
          <w:b/>
          <w:bCs/>
        </w:rPr>
        <w:t>agrees</w:t>
      </w:r>
      <w:r w:rsidRPr="00537CA8">
        <w:rPr>
          <w:rFonts w:cs="Arial"/>
          <w:b/>
          <w:bCs/>
          <w:spacing w:val="-7"/>
        </w:rPr>
        <w:t xml:space="preserve"> </w:t>
      </w:r>
      <w:r w:rsidRPr="00537CA8">
        <w:rPr>
          <w:rFonts w:cs="Arial"/>
          <w:b/>
          <w:bCs/>
        </w:rPr>
        <w:t>to</w:t>
      </w:r>
      <w:r w:rsidRPr="00537CA8">
        <w:rPr>
          <w:rFonts w:cs="Arial"/>
          <w:b/>
          <w:bCs/>
          <w:spacing w:val="-2"/>
        </w:rPr>
        <w:t xml:space="preserve"> </w:t>
      </w:r>
      <w:r w:rsidRPr="00537CA8">
        <w:rPr>
          <w:rFonts w:cs="Arial"/>
          <w:b/>
          <w:bCs/>
        </w:rPr>
        <w:t>comp</w:t>
      </w:r>
      <w:r w:rsidRPr="00537CA8">
        <w:rPr>
          <w:rFonts w:cs="Arial"/>
          <w:b/>
          <w:bCs/>
          <w:spacing w:val="1"/>
        </w:rPr>
        <w:t>l</w:t>
      </w:r>
      <w:r w:rsidRPr="00537CA8">
        <w:rPr>
          <w:rFonts w:cs="Arial"/>
          <w:b/>
          <w:bCs/>
        </w:rPr>
        <w:t>y</w:t>
      </w:r>
      <w:r w:rsidRPr="00537CA8">
        <w:rPr>
          <w:rFonts w:cs="Arial"/>
          <w:b/>
          <w:bCs/>
          <w:spacing w:val="-10"/>
        </w:rPr>
        <w:t xml:space="preserve"> </w:t>
      </w:r>
      <w:r w:rsidRPr="00537CA8">
        <w:rPr>
          <w:rFonts w:cs="Arial"/>
          <w:b/>
          <w:bCs/>
          <w:spacing w:val="2"/>
        </w:rPr>
        <w:t>w</w:t>
      </w:r>
      <w:r w:rsidRPr="00537CA8">
        <w:rPr>
          <w:rFonts w:cs="Arial"/>
          <w:b/>
          <w:bCs/>
        </w:rPr>
        <w:t>ith</w:t>
      </w:r>
      <w:r w:rsidRPr="00537CA8">
        <w:rPr>
          <w:rFonts w:cs="Arial"/>
          <w:b/>
          <w:bCs/>
          <w:spacing w:val="-5"/>
        </w:rPr>
        <w:t xml:space="preserve"> </w:t>
      </w:r>
      <w:r w:rsidRPr="00537CA8">
        <w:rPr>
          <w:rFonts w:cs="Arial"/>
          <w:b/>
          <w:bCs/>
        </w:rPr>
        <w:t>the</w:t>
      </w:r>
      <w:r w:rsidRPr="00537CA8">
        <w:rPr>
          <w:rFonts w:cs="Arial"/>
          <w:b/>
          <w:bCs/>
          <w:spacing w:val="-3"/>
        </w:rPr>
        <w:t xml:space="preserve"> </w:t>
      </w:r>
      <w:r w:rsidR="003B3617">
        <w:rPr>
          <w:rFonts w:cs="Arial"/>
          <w:b/>
          <w:bCs/>
          <w:spacing w:val="-3"/>
        </w:rPr>
        <w:t>recognition of prior learning, exemption and equivalence policy</w:t>
      </w:r>
      <w:r w:rsidRPr="00537CA8">
        <w:rPr>
          <w:rFonts w:cs="Arial"/>
          <w:b/>
          <w:bCs/>
          <w:spacing w:val="-8"/>
        </w:rPr>
        <w:t xml:space="preserve"> </w:t>
      </w:r>
      <w:r w:rsidRPr="00537CA8">
        <w:rPr>
          <w:rFonts w:cs="Arial"/>
          <w:b/>
          <w:bCs/>
        </w:rPr>
        <w:t>as</w:t>
      </w:r>
      <w:r w:rsidRPr="00537CA8">
        <w:rPr>
          <w:rFonts w:cs="Arial"/>
          <w:b/>
          <w:bCs/>
          <w:spacing w:val="-2"/>
        </w:rPr>
        <w:t xml:space="preserve"> </w:t>
      </w:r>
      <w:r w:rsidRPr="00537CA8">
        <w:rPr>
          <w:rFonts w:cs="Arial"/>
          <w:b/>
          <w:bCs/>
        </w:rPr>
        <w:t>outlined</w:t>
      </w:r>
      <w:r w:rsidRPr="00537CA8">
        <w:rPr>
          <w:rFonts w:cs="Arial"/>
          <w:b/>
          <w:bCs/>
          <w:spacing w:val="-9"/>
        </w:rPr>
        <w:t xml:space="preserve"> </w:t>
      </w:r>
      <w:r w:rsidRPr="00537CA8">
        <w:rPr>
          <w:rFonts w:cs="Arial"/>
          <w:b/>
          <w:bCs/>
        </w:rPr>
        <w:t>above</w:t>
      </w:r>
      <w:r w:rsidR="005A26F7">
        <w:rPr>
          <w:rFonts w:cs="Arial"/>
          <w:b/>
          <w:bCs/>
        </w:rPr>
        <w:t>:</w:t>
      </w:r>
    </w:p>
    <w:p w:rsidR="001F4BE2" w:rsidRPr="00537CA8" w:rsidRDefault="001F4BE2" w:rsidP="005A26F7">
      <w:pPr>
        <w:widowControl w:val="0"/>
        <w:autoSpaceDE w:val="0"/>
        <w:autoSpaceDN w:val="0"/>
        <w:adjustRightInd w:val="0"/>
        <w:spacing w:before="12" w:line="240" w:lineRule="exact"/>
        <w:rPr>
          <w:rFonts w:cs="Arial"/>
        </w:rPr>
      </w:pPr>
    </w:p>
    <w:p w:rsidR="005A26F7" w:rsidRDefault="00537CA8" w:rsidP="005A26F7">
      <w:pPr>
        <w:widowControl w:val="0"/>
        <w:tabs>
          <w:tab w:val="left" w:pos="3969"/>
          <w:tab w:val="left" w:pos="7938"/>
        </w:tabs>
        <w:autoSpaceDE w:val="0"/>
        <w:autoSpaceDN w:val="0"/>
        <w:adjustRightInd w:val="0"/>
        <w:spacing w:line="479" w:lineRule="auto"/>
        <w:ind w:right="-10"/>
        <w:rPr>
          <w:rFonts w:cs="Arial"/>
        </w:rPr>
      </w:pPr>
      <w:r w:rsidRPr="00537CA8">
        <w:rPr>
          <w:rFonts w:cs="Arial"/>
        </w:rPr>
        <w:t>Signature:</w:t>
      </w:r>
      <w:r w:rsidRPr="00537CA8">
        <w:rPr>
          <w:rFonts w:cs="Arial"/>
          <w:spacing w:val="-10"/>
        </w:rPr>
        <w:t xml:space="preserve"> </w:t>
      </w:r>
      <w:r w:rsidRPr="00537CA8">
        <w:rPr>
          <w:rFonts w:cs="Arial"/>
        </w:rPr>
        <w:t>.</w:t>
      </w:r>
      <w:r w:rsidR="005A26F7">
        <w:rPr>
          <w:rFonts w:cs="Arial"/>
        </w:rPr>
        <w:t>……………………</w:t>
      </w:r>
      <w:r w:rsidR="005A26F7">
        <w:rPr>
          <w:rFonts w:cs="Arial"/>
        </w:rPr>
        <w:tab/>
      </w:r>
      <w:r w:rsidRPr="00537CA8">
        <w:rPr>
          <w:rFonts w:cs="Arial"/>
        </w:rPr>
        <w:t>Position:</w:t>
      </w:r>
      <w:r w:rsidRPr="00537CA8">
        <w:rPr>
          <w:rFonts w:cs="Arial"/>
          <w:spacing w:val="53"/>
        </w:rPr>
        <w:t xml:space="preserve"> </w:t>
      </w:r>
      <w:r w:rsidRPr="00537CA8">
        <w:rPr>
          <w:rFonts w:cs="Arial"/>
          <w:spacing w:val="-1"/>
        </w:rPr>
        <w:t>…</w:t>
      </w:r>
      <w:r w:rsidRPr="00537CA8">
        <w:rPr>
          <w:rFonts w:cs="Arial"/>
        </w:rPr>
        <w:t>……………………</w:t>
      </w:r>
      <w:r w:rsidR="005A26F7">
        <w:rPr>
          <w:rFonts w:cs="Arial"/>
          <w:spacing w:val="41"/>
        </w:rPr>
        <w:tab/>
      </w:r>
      <w:r w:rsidRPr="00537CA8">
        <w:rPr>
          <w:rFonts w:cs="Arial"/>
        </w:rPr>
        <w:t>Da</w:t>
      </w:r>
      <w:r w:rsidRPr="00537CA8">
        <w:rPr>
          <w:rFonts w:cs="Arial"/>
          <w:spacing w:val="1"/>
        </w:rPr>
        <w:t>t</w:t>
      </w:r>
      <w:r w:rsidRPr="00537CA8">
        <w:rPr>
          <w:rFonts w:cs="Arial"/>
        </w:rPr>
        <w:t>e:</w:t>
      </w:r>
      <w:r w:rsidRPr="00537CA8">
        <w:rPr>
          <w:rFonts w:cs="Arial"/>
          <w:spacing w:val="56"/>
        </w:rPr>
        <w:t xml:space="preserve"> </w:t>
      </w:r>
      <w:r w:rsidR="005A26F7">
        <w:rPr>
          <w:rFonts w:cs="Arial"/>
        </w:rPr>
        <w:t>……….............</w:t>
      </w:r>
    </w:p>
    <w:p w:rsidR="001F4BE2" w:rsidRPr="00537CA8" w:rsidRDefault="00537CA8" w:rsidP="005A26F7">
      <w:pPr>
        <w:widowControl w:val="0"/>
        <w:tabs>
          <w:tab w:val="left" w:pos="3969"/>
          <w:tab w:val="left" w:pos="7938"/>
        </w:tabs>
        <w:autoSpaceDE w:val="0"/>
        <w:autoSpaceDN w:val="0"/>
        <w:adjustRightInd w:val="0"/>
        <w:spacing w:line="479" w:lineRule="auto"/>
        <w:ind w:right="-10"/>
        <w:rPr>
          <w:rFonts w:cs="Arial"/>
        </w:rPr>
      </w:pPr>
      <w:r w:rsidRPr="00537CA8">
        <w:rPr>
          <w:rFonts w:cs="Arial"/>
        </w:rPr>
        <w:t>Signature:</w:t>
      </w:r>
      <w:r w:rsidRPr="00537CA8">
        <w:rPr>
          <w:rFonts w:cs="Arial"/>
          <w:spacing w:val="-10"/>
        </w:rPr>
        <w:t xml:space="preserve"> </w:t>
      </w:r>
      <w:r w:rsidR="005A26F7">
        <w:rPr>
          <w:rFonts w:cs="Arial"/>
        </w:rPr>
        <w:t>.……………………</w:t>
      </w:r>
      <w:r w:rsidR="005A26F7">
        <w:rPr>
          <w:rFonts w:cs="Arial"/>
        </w:rPr>
        <w:tab/>
      </w:r>
      <w:r w:rsidRPr="00537CA8">
        <w:rPr>
          <w:rFonts w:cs="Arial"/>
        </w:rPr>
        <w:t>Position:</w:t>
      </w:r>
      <w:r w:rsidRPr="00537CA8">
        <w:rPr>
          <w:rFonts w:cs="Arial"/>
          <w:spacing w:val="53"/>
        </w:rPr>
        <w:t xml:space="preserve"> </w:t>
      </w:r>
      <w:r w:rsidRPr="00537CA8">
        <w:rPr>
          <w:rFonts w:cs="Arial"/>
          <w:spacing w:val="-1"/>
        </w:rPr>
        <w:t>…</w:t>
      </w:r>
      <w:r w:rsidRPr="00537CA8">
        <w:rPr>
          <w:rFonts w:cs="Arial"/>
        </w:rPr>
        <w:t>……………………</w:t>
      </w:r>
      <w:r w:rsidR="005A26F7">
        <w:rPr>
          <w:rFonts w:cs="Arial"/>
          <w:spacing w:val="41"/>
        </w:rPr>
        <w:tab/>
      </w:r>
      <w:r w:rsidRPr="00537CA8">
        <w:rPr>
          <w:rFonts w:cs="Arial"/>
        </w:rPr>
        <w:t>Da</w:t>
      </w:r>
      <w:r w:rsidRPr="00537CA8">
        <w:rPr>
          <w:rFonts w:cs="Arial"/>
          <w:spacing w:val="1"/>
        </w:rPr>
        <w:t>t</w:t>
      </w:r>
      <w:r w:rsidRPr="00537CA8">
        <w:rPr>
          <w:rFonts w:cs="Arial"/>
        </w:rPr>
        <w:t>e:</w:t>
      </w:r>
      <w:r w:rsidRPr="00537CA8">
        <w:rPr>
          <w:rFonts w:cs="Arial"/>
          <w:spacing w:val="56"/>
        </w:rPr>
        <w:t xml:space="preserve"> </w:t>
      </w:r>
      <w:r w:rsidRPr="00537CA8">
        <w:rPr>
          <w:rFonts w:cs="Arial"/>
        </w:rPr>
        <w:t>………</w:t>
      </w:r>
      <w:r w:rsidR="005A26F7">
        <w:rPr>
          <w:rFonts w:cs="Arial"/>
        </w:rPr>
        <w:t>.............</w:t>
      </w:r>
    </w:p>
    <w:sectPr w:rsidR="001F4BE2" w:rsidRPr="00537CA8" w:rsidSect="00537CA8">
      <w:type w:val="continuous"/>
      <w:pgSz w:w="11920" w:h="16840"/>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D0C"/>
    <w:multiLevelType w:val="multilevel"/>
    <w:tmpl w:val="0B96DBD6"/>
    <w:lvl w:ilvl="0">
      <w:start w:val="1"/>
      <w:numFmt w:val="decimal"/>
      <w:pStyle w:val="Heading1"/>
      <w:lvlText w:val="%1."/>
      <w:lvlJc w:val="left"/>
      <w:pPr>
        <w:ind w:left="360" w:hanging="360"/>
      </w:pPr>
      <w:rPr>
        <w:i/>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BEA0642"/>
    <w:multiLevelType w:val="hybridMultilevel"/>
    <w:tmpl w:val="4AA40138"/>
    <w:lvl w:ilvl="0" w:tplc="8C10DFD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063C67"/>
    <w:multiLevelType w:val="hybridMultilevel"/>
    <w:tmpl w:val="E0420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293ED0"/>
    <w:multiLevelType w:val="hybridMultilevel"/>
    <w:tmpl w:val="56B495AE"/>
    <w:lvl w:ilvl="0" w:tplc="A78E770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compat>
  <w:rsids>
    <w:rsidRoot w:val="00950FB7"/>
    <w:rsid w:val="000F4B60"/>
    <w:rsid w:val="001F4BE2"/>
    <w:rsid w:val="0024494A"/>
    <w:rsid w:val="002834D7"/>
    <w:rsid w:val="003B3617"/>
    <w:rsid w:val="003C1F4B"/>
    <w:rsid w:val="003C49EA"/>
    <w:rsid w:val="00537CA8"/>
    <w:rsid w:val="005A26F7"/>
    <w:rsid w:val="006D7A2A"/>
    <w:rsid w:val="008E0FD2"/>
    <w:rsid w:val="00946CF1"/>
    <w:rsid w:val="00950FB7"/>
    <w:rsid w:val="00A13C1D"/>
    <w:rsid w:val="00A35901"/>
    <w:rsid w:val="00B525BF"/>
    <w:rsid w:val="00BB760E"/>
    <w:rsid w:val="00C31555"/>
    <w:rsid w:val="00D2482F"/>
    <w:rsid w:val="00DF70A4"/>
    <w:rsid w:val="00E52BDD"/>
    <w:rsid w:val="00EF6A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37CA8"/>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537CA8"/>
    <w:pPr>
      <w:keepNext/>
      <w:keepLines/>
      <w:numPr>
        <w:numId w:val="9"/>
      </w:numPr>
      <w:outlineLvl w:val="0"/>
    </w:pPr>
    <w:rPr>
      <w:rFonts w:ascii="Georgia" w:eastAsiaTheme="majorEastAsia" w:hAnsi="Georgia" w:cstheme="majorBidi"/>
      <w:bCs/>
      <w:i/>
      <w:sz w:val="36"/>
    </w:rPr>
  </w:style>
  <w:style w:type="paragraph" w:styleId="Heading2">
    <w:name w:val="heading 2"/>
    <w:basedOn w:val="Normal"/>
    <w:next w:val="Normal"/>
    <w:link w:val="Heading2Char"/>
    <w:uiPriority w:val="9"/>
    <w:semiHidden/>
    <w:unhideWhenUsed/>
    <w:qFormat/>
    <w:rsid w:val="00537CA8"/>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37CA8"/>
    <w:pPr>
      <w:keepNext/>
      <w:keepLines/>
      <w:numPr>
        <w:ilvl w:val="2"/>
        <w:numId w:val="9"/>
      </w:numPr>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537CA8"/>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7CA8"/>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7CA8"/>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7CA8"/>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7CA8"/>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7CA8"/>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A8"/>
    <w:rPr>
      <w:rFonts w:ascii="Georgia" w:eastAsiaTheme="majorEastAsia" w:hAnsi="Georgia" w:cstheme="majorBidi"/>
      <w:bCs/>
      <w:i/>
      <w:sz w:val="36"/>
      <w:szCs w:val="24"/>
    </w:rPr>
  </w:style>
  <w:style w:type="character" w:customStyle="1" w:styleId="Heading2Char">
    <w:name w:val="Heading 2 Char"/>
    <w:basedOn w:val="DefaultParagraphFont"/>
    <w:link w:val="Heading2"/>
    <w:uiPriority w:val="9"/>
    <w:semiHidden/>
    <w:rsid w:val="00537CA8"/>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semiHidden/>
    <w:rsid w:val="00537CA8"/>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537CA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537CA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37CA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537CA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537C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7CA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7CA8"/>
    <w:pPr>
      <w:jc w:val="center"/>
    </w:pPr>
    <w:rPr>
      <w:b/>
      <w:bCs/>
      <w:szCs w:val="18"/>
    </w:rPr>
  </w:style>
  <w:style w:type="paragraph" w:styleId="Title">
    <w:name w:val="Title"/>
    <w:basedOn w:val="Normal"/>
    <w:next w:val="Normal"/>
    <w:link w:val="TitleChar"/>
    <w:uiPriority w:val="10"/>
    <w:qFormat/>
    <w:rsid w:val="00537CA8"/>
    <w:pPr>
      <w:contextualSpacing/>
      <w:jc w:val="center"/>
    </w:pPr>
    <w:rPr>
      <w:rFonts w:eastAsiaTheme="majorEastAsia" w:cstheme="majorBidi"/>
      <w:b/>
      <w:i/>
      <w:spacing w:val="5"/>
      <w:kern w:val="28"/>
      <w:sz w:val="48"/>
      <w:szCs w:val="52"/>
    </w:rPr>
  </w:style>
  <w:style w:type="character" w:customStyle="1" w:styleId="TitleChar">
    <w:name w:val="Title Char"/>
    <w:basedOn w:val="DefaultParagraphFont"/>
    <w:link w:val="Title"/>
    <w:uiPriority w:val="10"/>
    <w:rsid w:val="00537CA8"/>
    <w:rPr>
      <w:rFonts w:ascii="Arial" w:eastAsiaTheme="majorEastAsia" w:hAnsi="Arial" w:cstheme="majorBidi"/>
      <w:b/>
      <w:i/>
      <w:spacing w:val="5"/>
      <w:kern w:val="28"/>
      <w:sz w:val="48"/>
      <w:szCs w:val="52"/>
    </w:rPr>
  </w:style>
  <w:style w:type="paragraph" w:styleId="NoSpacing">
    <w:name w:val="No Spacing"/>
    <w:link w:val="NoSpacingChar"/>
    <w:uiPriority w:val="1"/>
    <w:qFormat/>
    <w:rsid w:val="00537CA8"/>
    <w:pPr>
      <w:spacing w:after="0" w:line="240" w:lineRule="auto"/>
    </w:pPr>
    <w:rPr>
      <w:rFonts w:ascii="Arial" w:hAnsi="Arial"/>
      <w:sz w:val="24"/>
      <w:szCs w:val="24"/>
    </w:rPr>
  </w:style>
  <w:style w:type="character" w:customStyle="1" w:styleId="NoSpacingChar">
    <w:name w:val="No Spacing Char"/>
    <w:basedOn w:val="DefaultParagraphFont"/>
    <w:link w:val="NoSpacing"/>
    <w:uiPriority w:val="1"/>
    <w:rsid w:val="00537CA8"/>
    <w:rPr>
      <w:rFonts w:ascii="Arial" w:hAnsi="Arial"/>
      <w:sz w:val="24"/>
      <w:szCs w:val="24"/>
    </w:rPr>
  </w:style>
  <w:style w:type="paragraph" w:styleId="ListParagraph">
    <w:name w:val="List Paragraph"/>
    <w:basedOn w:val="Normal"/>
    <w:uiPriority w:val="34"/>
    <w:qFormat/>
    <w:rsid w:val="00537CA8"/>
    <w:pPr>
      <w:numPr>
        <w:numId w:val="10"/>
      </w:numPr>
      <w:contextualSpacing/>
    </w:pPr>
  </w:style>
  <w:style w:type="paragraph" w:styleId="TOCHeading">
    <w:name w:val="TOC Heading"/>
    <w:basedOn w:val="Heading1"/>
    <w:next w:val="Normal"/>
    <w:uiPriority w:val="39"/>
    <w:semiHidden/>
    <w:unhideWhenUsed/>
    <w:qFormat/>
    <w:rsid w:val="00537CA8"/>
    <w:pPr>
      <w:numPr>
        <w:numId w:val="0"/>
      </w:numPr>
      <w:outlineLvl w:val="9"/>
    </w:pPr>
    <w:rPr>
      <w:lang w:val="en-US"/>
    </w:rPr>
  </w:style>
  <w:style w:type="paragraph" w:customStyle="1" w:styleId="ExplanationText">
    <w:name w:val="Explanation Text"/>
    <w:basedOn w:val="Normal"/>
    <w:qFormat/>
    <w:rsid w:val="00537CA8"/>
    <w:rPr>
      <w:rFonts w:eastAsia="Times New Roman"/>
      <w:i/>
      <w:iCs/>
      <w:color w:val="4F81BD" w:themeColor="accent1"/>
    </w:rPr>
  </w:style>
  <w:style w:type="paragraph" w:customStyle="1" w:styleId="Subheading1">
    <w:name w:val="Subheading 1"/>
    <w:basedOn w:val="Normal"/>
    <w:qFormat/>
    <w:rsid w:val="00537CA8"/>
    <w:rPr>
      <w:rFonts w:ascii="Georgia" w:hAnsi="Georgia"/>
      <w:i/>
      <w:sz w:val="36"/>
    </w:rPr>
  </w:style>
  <w:style w:type="table" w:styleId="TableGrid">
    <w:name w:val="Table Grid"/>
    <w:basedOn w:val="TableNormal"/>
    <w:uiPriority w:val="59"/>
    <w:rsid w:val="00B52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Praine</dc:creator>
  <cp:lastModifiedBy>dcarter</cp:lastModifiedBy>
  <cp:revision>2</cp:revision>
  <dcterms:created xsi:type="dcterms:W3CDTF">2015-03-26T16:09:00Z</dcterms:created>
  <dcterms:modified xsi:type="dcterms:W3CDTF">2015-03-26T16:09:00Z</dcterms:modified>
</cp:coreProperties>
</file>